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CC4" w:rsidRPr="009E1A46" w:rsidRDefault="00D04CC4" w:rsidP="00D04CC4">
      <w:pPr>
        <w:pStyle w:val="ConsPlusNormal"/>
        <w:tabs>
          <w:tab w:val="left" w:pos="5103"/>
          <w:tab w:val="left" w:pos="5387"/>
        </w:tabs>
        <w:ind w:firstLine="5387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Приложение 4</w:t>
      </w:r>
    </w:p>
    <w:p w:rsidR="00D04CC4" w:rsidRPr="009E1A46" w:rsidRDefault="00D04CC4" w:rsidP="00D04CC4">
      <w:pPr>
        <w:pStyle w:val="ConsPlusNormal"/>
        <w:tabs>
          <w:tab w:val="left" w:pos="5103"/>
          <w:tab w:val="left" w:pos="5387"/>
        </w:tabs>
        <w:ind w:firstLine="5387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D04CC4" w:rsidRPr="009E1A46" w:rsidRDefault="00D04CC4" w:rsidP="00D04CC4">
      <w:pPr>
        <w:pStyle w:val="ConsPlusNormal"/>
        <w:tabs>
          <w:tab w:val="left" w:pos="5103"/>
          <w:tab w:val="left" w:pos="5387"/>
        </w:tabs>
        <w:ind w:firstLine="5387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«О межбюджетных отношениях</w:t>
      </w:r>
    </w:p>
    <w:p w:rsidR="00D04CC4" w:rsidRPr="009E1A46" w:rsidRDefault="00D04CC4" w:rsidP="00D04CC4">
      <w:pPr>
        <w:pStyle w:val="ConsPlusNormal"/>
        <w:tabs>
          <w:tab w:val="left" w:pos="5103"/>
          <w:tab w:val="left" w:pos="5387"/>
        </w:tabs>
        <w:ind w:firstLine="5387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в Брянской области»</w:t>
      </w:r>
    </w:p>
    <w:p w:rsidR="00D04CC4" w:rsidRPr="009E1A46" w:rsidRDefault="00D04CC4" w:rsidP="00D04C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4CC4" w:rsidRPr="009E1A46" w:rsidRDefault="00D04CC4" w:rsidP="00D04C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76"/>
      <w:bookmarkEnd w:id="0"/>
      <w:r w:rsidRPr="009E1A46">
        <w:rPr>
          <w:rFonts w:ascii="Times New Roman" w:hAnsi="Times New Roman" w:cs="Times New Roman"/>
          <w:sz w:val="28"/>
          <w:szCs w:val="28"/>
        </w:rPr>
        <w:t>Порядок и методика</w:t>
      </w:r>
    </w:p>
    <w:p w:rsidR="00D04CC4" w:rsidRPr="009E1A46" w:rsidRDefault="00D04CC4" w:rsidP="00D04C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распределения дотаций на выравнивание</w:t>
      </w:r>
    </w:p>
    <w:p w:rsidR="00D04CC4" w:rsidRPr="009E1A46" w:rsidRDefault="00D04CC4" w:rsidP="00D04C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 xml:space="preserve">бюджетной обеспеченности </w:t>
      </w:r>
      <w:proofErr w:type="gramStart"/>
      <w:r w:rsidRPr="009E1A46">
        <w:rPr>
          <w:rFonts w:ascii="Times New Roman" w:hAnsi="Times New Roman" w:cs="Times New Roman"/>
          <w:sz w:val="28"/>
          <w:szCs w:val="28"/>
        </w:rPr>
        <w:t>городских</w:t>
      </w:r>
      <w:proofErr w:type="gramEnd"/>
    </w:p>
    <w:p w:rsidR="00D04CC4" w:rsidRPr="009E1A46" w:rsidRDefault="00D04CC4" w:rsidP="00D04C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 xml:space="preserve">округов в части реализации полномочий органов местного самоуправления поселений, в том числе порядок расчета и </w:t>
      </w:r>
      <w:proofErr w:type="gramStart"/>
      <w:r w:rsidRPr="009E1A46">
        <w:rPr>
          <w:rFonts w:ascii="Times New Roman" w:hAnsi="Times New Roman" w:cs="Times New Roman"/>
          <w:sz w:val="28"/>
          <w:szCs w:val="28"/>
        </w:rPr>
        <w:t>установления</w:t>
      </w:r>
      <w:proofErr w:type="gramEnd"/>
      <w:r w:rsidRPr="009E1A46">
        <w:rPr>
          <w:rFonts w:ascii="Times New Roman" w:hAnsi="Times New Roman" w:cs="Times New Roman"/>
          <w:sz w:val="28"/>
          <w:szCs w:val="28"/>
        </w:rPr>
        <w:t xml:space="preserve"> заменяющих указанные дотации (или их часть) дополнительных нормативов отчислений от налога на доходы физических лиц </w:t>
      </w:r>
    </w:p>
    <w:p w:rsidR="00D04CC4" w:rsidRPr="009E1A46" w:rsidRDefault="00D04CC4" w:rsidP="00D04C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в местные бюджеты</w:t>
      </w:r>
    </w:p>
    <w:p w:rsidR="00D04CC4" w:rsidRPr="009E1A46" w:rsidRDefault="00D04CC4" w:rsidP="00D04C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1. Дотации на выравнивание бюджетной обеспеченности городских округов в части реализации полномочий органов местного самоуправления поселений распределяются с целью выравнивания финансовых возможностей городских округов области по осуществлению органами местного самоуправления полномочий по решению вопросов местного значения, идентичных полномочиям поселений.</w:t>
      </w: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2. Дотации на выравнивание бюджетной обеспеченности городских округов в части реализации полномочий органов местного самоуправления поселений образуют Региональный фонд финансовой поддержки поселений (городских округов) (далее - РФФПП (ГО)).</w:t>
      </w: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3. Общий объем дотаций на выравнивание бюджетной обеспеченности городских округов в части реализации полномочий органов местного самоуправления поселений (далее – дотации) на соответствующий финансовый год определяется по следующей формуле:</w:t>
      </w: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4CC4" w:rsidRPr="009E1A46" w:rsidRDefault="00D04CC4" w:rsidP="00D04CC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Дот</w:t>
      </w:r>
      <w:proofErr w:type="gramStart"/>
      <w:r w:rsidRPr="009E1A46">
        <w:rPr>
          <w:rFonts w:ascii="Times New Roman" w:hAnsi="Times New Roman" w:cs="Times New Roman"/>
          <w:sz w:val="28"/>
          <w:szCs w:val="28"/>
        </w:rPr>
        <w:t xml:space="preserve"> = Д</w:t>
      </w:r>
      <w:proofErr w:type="gramEnd"/>
      <w:r w:rsidRPr="009E1A46">
        <w:rPr>
          <w:rFonts w:ascii="Times New Roman" w:hAnsi="Times New Roman" w:cs="Times New Roman"/>
          <w:sz w:val="28"/>
          <w:szCs w:val="28"/>
        </w:rPr>
        <w:t xml:space="preserve">о × 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КкорРФФПП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(ГО), где:</w:t>
      </w: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Дот - общий объем дотаций на соответствующий финансовый год;</w:t>
      </w: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1A46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9E1A46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9E1A46">
        <w:rPr>
          <w:rFonts w:ascii="Times New Roman" w:hAnsi="Times New Roman" w:cs="Times New Roman"/>
          <w:sz w:val="28"/>
          <w:szCs w:val="28"/>
        </w:rPr>
        <w:t>общий</w:t>
      </w:r>
      <w:proofErr w:type="gramEnd"/>
      <w:r w:rsidRPr="009E1A46">
        <w:rPr>
          <w:rFonts w:ascii="Times New Roman" w:hAnsi="Times New Roman" w:cs="Times New Roman"/>
          <w:sz w:val="28"/>
          <w:szCs w:val="28"/>
        </w:rPr>
        <w:t xml:space="preserve"> объем дотаций в текущем финансовом году;</w:t>
      </w: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КкорРФФПП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(ГО) - коэффициент корректировки общего объема дотаций.</w:t>
      </w: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4. Дотации из РФФПП (ГО) бюджетам городских округов распределяются в следующем порядке:</w:t>
      </w: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4CC4" w:rsidRPr="009E1A46" w:rsidRDefault="00D04CC4" w:rsidP="00D04CC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Дот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i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ГО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=Дот×Hi×Kиi/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(Hi ×Kиi)</m:t>
            </m:r>
          </m:e>
        </m:nary>
      </m:oMath>
      <w:r w:rsidRPr="009E1A46">
        <w:rPr>
          <w:rFonts w:ascii="Times New Roman" w:hAnsi="Times New Roman" w:cs="Times New Roman"/>
          <w:sz w:val="28"/>
          <w:szCs w:val="28"/>
        </w:rPr>
        <w:t>, где:</w:t>
      </w: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Дот</w:t>
      </w:r>
      <w:proofErr w:type="gramStart"/>
      <w:r w:rsidRPr="009E1A46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E1A46">
        <w:rPr>
          <w:rFonts w:ascii="Times New Roman" w:hAnsi="Times New Roman" w:cs="Times New Roman"/>
          <w:sz w:val="28"/>
          <w:szCs w:val="28"/>
        </w:rPr>
        <w:t>(ГО) - расчетный размер дотации i-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городскому округу из РФФПП (ГО);</w:t>
      </w: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Дот - общий объем дотаций;</w:t>
      </w: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Нi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- численность постоянного населения i-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городского округа на начало года, следующего за </w:t>
      </w:r>
      <w:proofErr w:type="gramStart"/>
      <w:r w:rsidRPr="009E1A46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9E1A46">
        <w:rPr>
          <w:rFonts w:ascii="Times New Roman" w:hAnsi="Times New Roman" w:cs="Times New Roman"/>
          <w:sz w:val="28"/>
          <w:szCs w:val="28"/>
        </w:rPr>
        <w:t>;</w:t>
      </w: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lastRenderedPageBreak/>
        <w:t>K</w:t>
      </w:r>
      <w:proofErr w:type="gramStart"/>
      <w:r w:rsidRPr="009E1A4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9E1A46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–коэффициент развития инфраструктуры i-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городского округа, определяемый Трехсторонней комиссией по межбюджетным отношениям в Брянской области при разработке и формировании расчета распределения дотаций;</w:t>
      </w: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E1A46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9E1A46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Pr="009E1A46">
        <w:rPr>
          <w:rFonts w:ascii="Times New Roman" w:hAnsi="Times New Roman" w:cs="Times New Roman"/>
          <w:sz w:val="28"/>
          <w:szCs w:val="28"/>
        </w:rPr>
        <w:t xml:space="preserve"> городских округов.</w:t>
      </w: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5. Дотации из РФФПП (ГО) могут быть полностью или частично заменены дополнительными нормативами отчислений в бюджеты городских округов от налога на доходы физических лиц. Указанный дополнительный норматив рассчитывается по следующей формуле:</w:t>
      </w: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4CC4" w:rsidRPr="009E1A46" w:rsidRDefault="00D04CC4" w:rsidP="00D04CC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Нндфл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доп</w:t>
      </w:r>
      <w:proofErr w:type="gramStart"/>
      <w:r w:rsidRPr="009E1A46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E1A4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Дотi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(ГО) / 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Пндфлi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× 100%, где:</w:t>
      </w: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Нндфл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доп</w:t>
      </w:r>
      <w:proofErr w:type="gramStart"/>
      <w:r w:rsidRPr="009E1A46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E1A46">
        <w:rPr>
          <w:rFonts w:ascii="Times New Roman" w:hAnsi="Times New Roman" w:cs="Times New Roman"/>
          <w:sz w:val="28"/>
          <w:szCs w:val="28"/>
        </w:rPr>
        <w:t xml:space="preserve"> - дополнительный норматив отчислений от налога на доходы физических лиц в бюджет i-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городского округа;</w:t>
      </w: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Дот</w:t>
      </w:r>
      <w:proofErr w:type="gramStart"/>
      <w:r w:rsidRPr="009E1A46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E1A46">
        <w:rPr>
          <w:rFonts w:ascii="Times New Roman" w:hAnsi="Times New Roman" w:cs="Times New Roman"/>
          <w:sz w:val="28"/>
          <w:szCs w:val="28"/>
        </w:rPr>
        <w:t>(ГО) - расчетный размер дотации (или часть расчетного размера дотации) i-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городскому округу из РФФПП (ГО);</w:t>
      </w: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Пндфл</w:t>
      </w:r>
      <w:proofErr w:type="gramStart"/>
      <w:r w:rsidRPr="009E1A46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E1A46">
        <w:rPr>
          <w:rFonts w:ascii="Times New Roman" w:hAnsi="Times New Roman" w:cs="Times New Roman"/>
          <w:sz w:val="28"/>
          <w:szCs w:val="28"/>
        </w:rPr>
        <w:t xml:space="preserve"> - прогнозируемый объем налога на доходы физических лиц, подлежащий зачислению в консолидированный бюджет области на территории i-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D04CC4" w:rsidRPr="009E1A46" w:rsidRDefault="00D04CC4" w:rsidP="00D04CC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6. Перечисление дотаций производится в соответствии со сводной бюджетной росписью областного бюджета и кассовым планом выплат. В пределах годовых назначений бюджетам городских округов могут предоставляться авансовые дотации на выравнивание бюджетной обеспеченности городских округов в части реализации полномочий органов местного самоуправления поселений.</w:t>
      </w:r>
    </w:p>
    <w:p w:rsidR="00D04CC4" w:rsidRPr="009E1A46" w:rsidRDefault="00D04CC4" w:rsidP="00D04C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4CC4" w:rsidRPr="009E1A46" w:rsidRDefault="00D04CC4" w:rsidP="00D04CC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9E1A46">
        <w:rPr>
          <w:rFonts w:ascii="Times New Roman" w:hAnsi="Times New Roman"/>
          <w:sz w:val="28"/>
          <w:szCs w:val="28"/>
        </w:rPr>
        <w:br w:type="page"/>
      </w:r>
    </w:p>
    <w:p w:rsidR="00F80DBE" w:rsidRDefault="00F80DBE">
      <w:bookmarkStart w:id="1" w:name="_GoBack"/>
      <w:bookmarkEnd w:id="1"/>
    </w:p>
    <w:sectPr w:rsidR="00F80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CC4"/>
    <w:rsid w:val="00D04CC4"/>
    <w:rsid w:val="00F8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CC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4C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04C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CC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4C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04C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Кураленко Оксана Григорьевна</dc:creator>
  <cp:lastModifiedBy>Кураленко Оксана Григорьевна</cp:lastModifiedBy>
  <cp:revision>1</cp:revision>
  <dcterms:created xsi:type="dcterms:W3CDTF">2016-11-09T09:13:00Z</dcterms:created>
  <dcterms:modified xsi:type="dcterms:W3CDTF">2016-11-09T09:13:00Z</dcterms:modified>
</cp:coreProperties>
</file>